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622AE069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 xml:space="preserve">MODELO DE LA CARTA DE DECLARACIÓN BAJO PROTESTA DE DECIR VERDAD DE NO ENCONTRARSE BAJO LOS SUPUESTOS DE LOS ARTICULOS </w:t>
      </w:r>
      <w:r w:rsidR="004972F4">
        <w:rPr>
          <w:rFonts w:ascii="Arial" w:hAnsi="Arial" w:cs="Arial"/>
          <w:color w:val="FF0000"/>
          <w:sz w:val="20"/>
          <w:szCs w:val="20"/>
        </w:rPr>
        <w:t>7</w:t>
      </w:r>
      <w:r>
        <w:rPr>
          <w:rFonts w:ascii="Arial" w:hAnsi="Arial" w:cs="Arial"/>
          <w:color w:val="FF0000"/>
          <w:sz w:val="20"/>
          <w:szCs w:val="20"/>
        </w:rPr>
        <w:t xml:space="preserve">0 Y </w:t>
      </w:r>
      <w:r w:rsidR="004972F4">
        <w:rPr>
          <w:rFonts w:ascii="Arial" w:hAnsi="Arial" w:cs="Arial"/>
          <w:color w:val="FF0000"/>
          <w:sz w:val="20"/>
          <w:szCs w:val="20"/>
        </w:rPr>
        <w:t>9</w:t>
      </w:r>
      <w:r>
        <w:rPr>
          <w:rFonts w:ascii="Arial" w:hAnsi="Arial" w:cs="Arial"/>
          <w:color w:val="FF0000"/>
          <w:sz w:val="20"/>
          <w:szCs w:val="20"/>
        </w:rPr>
        <w:t>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E9DEEC3" w14:textId="77777777" w:rsidR="00C12146" w:rsidRPr="00C12146" w:rsidRDefault="00C12146" w:rsidP="00C1214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12146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6BDD8C0C" w:rsidR="00E354E1" w:rsidRPr="00C97A7C" w:rsidRDefault="00C12146" w:rsidP="00C1214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12146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33A9A461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="004972F4">
        <w:rPr>
          <w:rFonts w:ascii="Arial Narrow" w:hAnsi="Arial Narrow" w:cs="Arial"/>
          <w:sz w:val="24"/>
        </w:rPr>
        <w:t>71</w:t>
      </w:r>
      <w:r w:rsidRPr="00084578">
        <w:rPr>
          <w:rFonts w:ascii="Arial Narrow" w:hAnsi="Arial Narrow" w:cs="Arial"/>
          <w:sz w:val="24"/>
        </w:rPr>
        <w:t xml:space="preserve"> Y </w:t>
      </w:r>
      <w:r w:rsidR="004972F4">
        <w:rPr>
          <w:rFonts w:ascii="Arial Narrow" w:hAnsi="Arial Narrow" w:cs="Arial"/>
          <w:sz w:val="24"/>
        </w:rPr>
        <w:t>9</w:t>
      </w:r>
      <w:r w:rsidRPr="00084578">
        <w:rPr>
          <w:rFonts w:ascii="Arial Narrow" w:hAnsi="Arial Narrow" w:cs="Arial"/>
          <w:sz w:val="24"/>
        </w:rPr>
        <w:t>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7A93A" w14:textId="77777777" w:rsidR="00904472" w:rsidRDefault="00904472">
      <w:r>
        <w:separator/>
      </w:r>
    </w:p>
  </w:endnote>
  <w:endnote w:type="continuationSeparator" w:id="0">
    <w:p w14:paraId="7D3562CC" w14:textId="77777777" w:rsidR="00904472" w:rsidRDefault="0090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904472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C56D9" w14:textId="77777777" w:rsidR="00904472" w:rsidRDefault="00904472">
      <w:r>
        <w:separator/>
      </w:r>
    </w:p>
  </w:footnote>
  <w:footnote w:type="continuationSeparator" w:id="0">
    <w:p w14:paraId="5639C27E" w14:textId="77777777" w:rsidR="00904472" w:rsidRDefault="00904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972F4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072F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22B4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04472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2146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7202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2020-09-18T19:55:00Z</dcterms:created>
  <dcterms:modified xsi:type="dcterms:W3CDTF">2025-06-12T00:50:00Z</dcterms:modified>
</cp:coreProperties>
</file>